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97" w:rsidRDefault="00442597" w:rsidP="00442597">
      <w:pPr>
        <w:pStyle w:val="2"/>
        <w:rPr>
          <w:sz w:val="36"/>
        </w:rPr>
      </w:pPr>
      <w:bookmarkStart w:id="0" w:name="_Toc147212363"/>
      <w:bookmarkStart w:id="1" w:name="_GoBack"/>
      <w:r w:rsidRPr="00B45D75">
        <w:rPr>
          <w:sz w:val="36"/>
        </w:rPr>
        <w:t xml:space="preserve">Национальный институт по правам человека </w:t>
      </w:r>
      <w:r w:rsidRPr="00B45D75">
        <w:rPr>
          <w:sz w:val="36"/>
        </w:rPr>
        <w:br/>
        <w:t>Королевства Бахрейн</w:t>
      </w:r>
      <w:bookmarkEnd w:id="0"/>
    </w:p>
    <w:bookmarkEnd w:id="1"/>
    <w:p w:rsidR="00442597" w:rsidRDefault="00442597" w:rsidP="00442597">
      <w:pPr>
        <w:rPr>
          <w:lang w:eastAsia="ru-RU"/>
        </w:rPr>
      </w:pPr>
    </w:p>
    <w:p w:rsidR="00442597" w:rsidRPr="00B45D75" w:rsidRDefault="00442597" w:rsidP="00442597">
      <w:pPr>
        <w:rPr>
          <w:lang w:eastAsia="ru-RU"/>
        </w:rPr>
      </w:pPr>
    </w:p>
    <w:p w:rsidR="00442597" w:rsidRPr="00024B2E" w:rsidRDefault="00442597" w:rsidP="00442597">
      <w:pPr>
        <w:pStyle w:val="a3"/>
        <w:rPr>
          <w:color w:val="2E74B5" w:themeColor="accent1" w:themeShade="BF"/>
          <w:sz w:val="32"/>
        </w:rPr>
      </w:pPr>
      <w:r w:rsidRPr="00024B2E">
        <w:rPr>
          <w:color w:val="2E74B5" w:themeColor="accent1" w:themeShade="BF"/>
          <w:sz w:val="32"/>
        </w:rPr>
        <w:t xml:space="preserve">10.2 История института 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F1711" wp14:editId="0BF4AAB1">
            <wp:simplePos x="0" y="0"/>
            <wp:positionH relativeFrom="column">
              <wp:posOffset>-5241</wp:posOffset>
            </wp:positionH>
            <wp:positionV relativeFrom="paragraph">
              <wp:posOffset>6350</wp:posOffset>
            </wp:positionV>
            <wp:extent cx="1709674" cy="1664335"/>
            <wp:effectExtent l="0" t="0" r="5080" b="0"/>
            <wp:wrapSquare wrapText="bothSides"/>
            <wp:docPr id="1069835832" name="Рисунок 1069835832" descr="Bahrain NIHR's Report Fails to Address Root Causes of Violations – Bahrain  Institute for Rights and Democ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hrain NIHR's Report Fails to Address Root Causes of Violations – Bahrain  Institute for Rights and Democrac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7" t="4120" r="19446"/>
                    <a:stretch/>
                  </pic:blipFill>
                  <pic:spPr bwMode="auto">
                    <a:xfrm>
                      <a:off x="0" y="0"/>
                      <a:ext cx="1709674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536CD">
        <w:rPr>
          <w:lang w:eastAsia="ru-RU"/>
        </w:rPr>
        <w:t>С тех пор, как Его Величество король Хамад бен Иса Аль Халифа взошел на престол в 1999 году, в Королевстве Бахрейн произошли серьезные изменения в направлении развития демократии, в том числе создание основ правового государства и построение интегрированной законодательной и правовой системы, передовой опыт</w:t>
      </w:r>
      <w:proofErr w:type="gramStart"/>
      <w:r w:rsidRPr="002536CD">
        <w:rPr>
          <w:lang w:eastAsia="ru-RU"/>
        </w:rPr>
        <w:t>.</w:t>
      </w:r>
      <w:proofErr w:type="gramEnd"/>
      <w:r w:rsidRPr="002536CD">
        <w:rPr>
          <w:lang w:eastAsia="ru-RU"/>
        </w:rPr>
        <w:t xml:space="preserve"> и государственные учреждения по поощрению прав человека. Изменения представляют собой фундаментальные преобразования, направленные на продвижение прав человека, общественных свобод и обеспечение реализации этими правами людей.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В дополнение к этим преобразованиям Его Величество Король учредил 10 ноября 2009 года Национальное</w:t>
      </w:r>
      <w:r>
        <w:rPr>
          <w:lang w:eastAsia="ru-RU"/>
        </w:rPr>
        <w:t xml:space="preserve"> учреждение по правам </w:t>
      </w:r>
      <w:proofErr w:type="gramStart"/>
      <w:r>
        <w:rPr>
          <w:lang w:eastAsia="ru-RU"/>
        </w:rPr>
        <w:t xml:space="preserve">человека </w:t>
      </w:r>
      <w:r w:rsidRPr="002536CD">
        <w:rPr>
          <w:lang w:eastAsia="ru-RU"/>
        </w:rPr>
        <w:t xml:space="preserve"> Королевским</w:t>
      </w:r>
      <w:proofErr w:type="gramEnd"/>
      <w:r w:rsidRPr="002536CD">
        <w:rPr>
          <w:lang w:eastAsia="ru-RU"/>
        </w:rPr>
        <w:t xml:space="preserve"> указом № 46 от 2009 года и наделил его мандатами и полномочиями в соответствии с Парижскими принципами, касающимися статуса национальные учреждения по поощрению и защите прав человека . «Резолюция Генеральной Ассамблеи ООН 48/134 1993 г.».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 xml:space="preserve">Чтобы предоставить Национальному институту прав человека больше независимости, Совет представителей и Совет шуры одобрили Закон № 26 от 2014 года о создании Национального института по правам </w:t>
      </w:r>
      <w:proofErr w:type="gramStart"/>
      <w:r w:rsidRPr="002536CD">
        <w:rPr>
          <w:lang w:eastAsia="ru-RU"/>
        </w:rPr>
        <w:t>человека ,</w:t>
      </w:r>
      <w:proofErr w:type="gramEnd"/>
      <w:r w:rsidRPr="002536CD">
        <w:rPr>
          <w:lang w:eastAsia="ru-RU"/>
        </w:rPr>
        <w:t xml:space="preserve"> изданный Его Величеством Королем. В 2016 году в закон были внесены </w:t>
      </w:r>
      <w:proofErr w:type="gramStart"/>
      <w:r w:rsidRPr="002536CD">
        <w:rPr>
          <w:lang w:eastAsia="ru-RU"/>
        </w:rPr>
        <w:t>поправки ,</w:t>
      </w:r>
      <w:proofErr w:type="gramEnd"/>
      <w:r w:rsidRPr="002536CD">
        <w:rPr>
          <w:lang w:eastAsia="ru-RU"/>
        </w:rPr>
        <w:t xml:space="preserve"> гарантирующие этому учреждению большую финансовую и административную независимость, а также полномочия, направленные на защиту и продвижение прав человека в Королевстве.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 xml:space="preserve">Учредительный закон подтвердил его роль в области продвижения и защиты прав человека, поскольку статья № (12) этого закона утвердила ряд компетенций учреждения для достижения своих целей в этой области. для достижения своих целей в этой области, поскольку роль учреждения в "укреплении путем распространения культуры прав человека с помощью различных средств, таких как проведение конференций, учебных курсов, семинаров и лекций для широкой общественности или конкретных целевых групп, в дополнение к обучению в области прав человека, изданию и печати издавать и печатать просветительские брошюры, связанные с их работой, а также проводить исследования, участвовать в местных и международных форумах и встречах, организуемых региональными и международными организациями, а также выпуск учебных пособий, связанных с их работой </w:t>
      </w:r>
      <w:r w:rsidRPr="002536CD">
        <w:rPr>
          <w:lang w:eastAsia="ru-RU"/>
        </w:rPr>
        <w:lastRenderedPageBreak/>
        <w:t>организациями, а также выпуск бюллетеней, публикаций, заявлений и специальных докладов. Выпуск бюллетеней, публикаций, заявлений и специальных докладов и размещение их на сайте.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является постоянным и эффективным членом Глобального альянса национа</w:t>
      </w:r>
      <w:r>
        <w:rPr>
          <w:lang w:eastAsia="ru-RU"/>
        </w:rPr>
        <w:t xml:space="preserve">льных правозащитных учреждений </w:t>
      </w:r>
      <w:r w:rsidRPr="002536CD">
        <w:rPr>
          <w:lang w:eastAsia="ru-RU"/>
        </w:rPr>
        <w:t>и Азиатско-Тихоокеанского форума национа</w:t>
      </w:r>
      <w:r>
        <w:rPr>
          <w:lang w:eastAsia="ru-RU"/>
        </w:rPr>
        <w:t xml:space="preserve">льных правозащитных учреждений. Национальный институт вправе </w:t>
      </w:r>
      <w:r w:rsidRPr="002536CD">
        <w:rPr>
          <w:lang w:eastAsia="ru-RU"/>
        </w:rPr>
        <w:t>активно участвовать в сессиях Совета по правам человека, заседаниях договорных органов, специальных процедур, подкомитетов и рабочих групп, а также действует как независимый институт, целью которого является продвижение и защита прав человека.</w:t>
      </w:r>
    </w:p>
    <w:p w:rsidR="00442597" w:rsidRPr="002536CD" w:rsidRDefault="00442597" w:rsidP="00442597">
      <w:pPr>
        <w:rPr>
          <w:lang w:eastAsia="ru-RU"/>
        </w:rPr>
      </w:pPr>
    </w:p>
    <w:p w:rsidR="00442597" w:rsidRPr="00024B2E" w:rsidRDefault="00442597" w:rsidP="00442597">
      <w:pPr>
        <w:pStyle w:val="a3"/>
        <w:rPr>
          <w:color w:val="2E74B5" w:themeColor="accent1" w:themeShade="BF"/>
          <w:sz w:val="32"/>
        </w:rPr>
      </w:pPr>
      <w:r w:rsidRPr="00024B2E">
        <w:rPr>
          <w:color w:val="2E74B5" w:themeColor="accent1" w:themeShade="BF"/>
          <w:sz w:val="32"/>
        </w:rPr>
        <w:t>10.3 Правовой статус и регулирование деятельности института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Совет комиссаров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состоит из одиннадцати членов , включая председателя, заместителя председателя и деятелей, известных своей компетентностью и честностью, выбранных из консультативных органов, академических организаций и организаций гражданского общества, профсоюзов, социальных, экономических и профессиональных организаций, а также деятелей, заинтересованных в защите прав человека. вопросы прав, также принимал во внимание представительство женщин, в которых меньшинства занимают соответствующее место.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Постоянные комитеты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состоит из трех постоянных комитетов: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Общий комитет по правам и свободам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Комитет по содержанию под стражей и посещению объектов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Комитет по жалобам, мониторингу и контролю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Бахрейна возглавляет председатель. В его состав входят одиннадцать членов, включая председателя и его заместителя, которые образуют Совет уполномоченных (орган, принимающий решения).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Члены Совета уполномоченных выбираются из "консультативных фирм, академических организаций, организаций гражданского общества, союзов, социальных, общественных организаций". общественных организаций, профсоюзов, социальных, экономических и профессиональных институтов, а также правозащитников".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 xml:space="preserve">Они могут быть выбраны и из числа парламентариев, которые могут участвовать в обсуждении в качестве членов без права голоса.64 Они назначаются Королевским указом на четыре года с возможностью продления на аналогичный срок после консультаций с гражданским обществом. 65 Решения Совета уполномоченных принимаются большинством голосов присутствующих членов.66 Членство в Совете уполномоченных может быть прекращено Королевским указом по рекомендации Совета большинством в две трети его членов в случаях, предусмотренных законом.67 В составе NIHR имеется административный орган - Секретариат NIHR, возглавляемый Генеральным секретарем, который назначается решением Председателя на </w:t>
      </w:r>
      <w:r w:rsidRPr="002536CD">
        <w:rPr>
          <w:lang w:eastAsia="ru-RU"/>
        </w:rPr>
        <w:lastRenderedPageBreak/>
        <w:t>основании одобрения большинства членов Совета.68 Сотрудники Секретариата назначаются решением Председателя на основании решения большинства членов Совета.68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 xml:space="preserve">Сотрудники Секретариата назначаются решением Председателя по представлению Генерального секретаря. </w:t>
      </w: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имеет отдельную статью государственного бюджета и осуществляет независимое управление и контроль за своими финансовыми ресурсами и </w:t>
      </w:r>
      <w:proofErr w:type="gramStart"/>
      <w:r w:rsidRPr="002536CD">
        <w:rPr>
          <w:lang w:eastAsia="ru-RU"/>
        </w:rPr>
        <w:t>управляет</w:t>
      </w:r>
      <w:proofErr w:type="gramEnd"/>
      <w:r w:rsidRPr="002536CD">
        <w:rPr>
          <w:lang w:eastAsia="ru-RU"/>
        </w:rPr>
        <w:t xml:space="preserve"> и контролирует свои финансовые ресурсы независимо.</w:t>
      </w:r>
    </w:p>
    <w:p w:rsidR="00442597" w:rsidRPr="002536CD" w:rsidRDefault="00442597" w:rsidP="00442597">
      <w:pPr>
        <w:rPr>
          <w:lang w:eastAsia="ru-RU"/>
        </w:rPr>
      </w:pPr>
    </w:p>
    <w:p w:rsidR="00442597" w:rsidRPr="00024B2E" w:rsidRDefault="00442597" w:rsidP="00442597">
      <w:pPr>
        <w:pStyle w:val="a3"/>
        <w:rPr>
          <w:color w:val="2E74B5" w:themeColor="accent1" w:themeShade="BF"/>
          <w:sz w:val="32"/>
        </w:rPr>
      </w:pPr>
      <w:r w:rsidRPr="00024B2E">
        <w:rPr>
          <w:color w:val="2E74B5" w:themeColor="accent1" w:themeShade="BF"/>
          <w:sz w:val="32"/>
        </w:rPr>
        <w:t xml:space="preserve">10.4 Полномочия и основные направления деятельности 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Компетенци</w:t>
      </w:r>
      <w:r>
        <w:rPr>
          <w:lang w:eastAsia="ru-RU"/>
        </w:rPr>
        <w:t>я</w:t>
      </w:r>
      <w:r w:rsidRPr="002536CD">
        <w:rPr>
          <w:lang w:eastAsia="ru-RU"/>
        </w:rPr>
        <w:t xml:space="preserve"> </w:t>
      </w:r>
      <w:r>
        <w:rPr>
          <w:lang w:eastAsia="ru-RU"/>
        </w:rPr>
        <w:t>Национальный институт: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Участвовать в разработке и реализации национального плана по поощрению и защите прав человека.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Изучать</w:t>
      </w:r>
      <w:r w:rsidRPr="002536CD">
        <w:rPr>
          <w:lang w:eastAsia="ru-RU"/>
        </w:rPr>
        <w:t xml:space="preserve"> законодательство в области прав человека, </w:t>
      </w:r>
      <w:r>
        <w:rPr>
          <w:lang w:eastAsia="ru-RU"/>
        </w:rPr>
        <w:t>предлагать внесение</w:t>
      </w:r>
      <w:r w:rsidRPr="002536CD">
        <w:rPr>
          <w:lang w:eastAsia="ru-RU"/>
        </w:rPr>
        <w:t xml:space="preserve"> поправки или </w:t>
      </w:r>
      <w:r>
        <w:rPr>
          <w:lang w:eastAsia="ru-RU"/>
        </w:rPr>
        <w:t>принятие</w:t>
      </w:r>
      <w:r w:rsidRPr="002536CD">
        <w:rPr>
          <w:lang w:eastAsia="ru-RU"/>
        </w:rPr>
        <w:t xml:space="preserve"> законодательство, а также </w:t>
      </w:r>
      <w:r>
        <w:rPr>
          <w:lang w:eastAsia="ru-RU"/>
        </w:rPr>
        <w:t>обеспечени</w:t>
      </w:r>
      <w:r w:rsidRPr="002536CD">
        <w:rPr>
          <w:lang w:eastAsia="ru-RU"/>
        </w:rPr>
        <w:t xml:space="preserve"> его </w:t>
      </w:r>
      <w:r>
        <w:rPr>
          <w:lang w:eastAsia="ru-RU"/>
        </w:rPr>
        <w:t>соответствия</w:t>
      </w:r>
      <w:r w:rsidRPr="002536CD">
        <w:rPr>
          <w:lang w:eastAsia="ru-RU"/>
        </w:rPr>
        <w:t xml:space="preserve"> с региональными и международными договорами.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Представлять ежегодный отчет о прогрессе в ситуации с правами человека, усилиях и его деятельности, а также представление параллельных отчетов</w:t>
      </w:r>
      <w:r>
        <w:rPr>
          <w:lang w:eastAsia="ru-RU"/>
        </w:rPr>
        <w:t xml:space="preserve"> в органы ООН</w:t>
      </w:r>
      <w:r w:rsidRPr="002536CD">
        <w:rPr>
          <w:lang w:eastAsia="ru-RU"/>
        </w:rPr>
        <w:t>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Получать и рассматривать жалобы на нарушение прав человека, передавать их компетентным органам, разъяснять соответствующие процедуры и отслеживать нарушения прав человека.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Проводить запланированные и необъявленные выезды на места, а также следить за ситуацией с правами человека в исправительных учреждениях и центрах содержания под стражей.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Сотрудничать с национальными органами, региональными и международными организациями, а также соответствующими учреждениями в других странах, которые работают над продвижением и защитой прав человека, а также проводить встречи и совместные мероприятия, сотрудничество, координацию и консультации с гражданским обществом и НПО и правами человека. защитники.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Проводить конференции и организовывать обучающие и образовательные мероприятия, а также выпускать информационные бюллетени, печатные материалы, статистические данные и специальные отчеты.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получает жалобы от отдельных лиц или от родственников до второй степени родства или уполномоченного законного представителя; будь то физическое или юридическое лицо, а также от институтов гражданского общества и других компетентных органов.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уполномочен представлять параллельные отчеты в региональные и международные органы по вопросам прав человека. Он также уполномочен осуществлять мониторинг и расследование в области прав человека.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lastRenderedPageBreak/>
        <w:t>Национальный институт</w:t>
      </w:r>
      <w:r w:rsidRPr="002536CD">
        <w:rPr>
          <w:lang w:eastAsia="ru-RU"/>
        </w:rPr>
        <w:t xml:space="preserve"> также уполномочен осуществлять мониторинг и расследование нарушений прав человека и привлекать к ним внимание компетентных органов, получать и рассматривать жалобы, связанные с правами человека, и направлять их в соответствующие органы, а также проводить объявленные и необъявленные поездки на места.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>Кроме того, он уполномочен осуществлять мониторинг и расследование нарушений прав человека и привлекать к этому внимание компетентных органов, получать и рассматривать жалобы, связанные с правами человека, и направлять их в соответствующие органы, а также проводить выезды на места</w:t>
      </w:r>
      <w:r>
        <w:rPr>
          <w:lang w:eastAsia="ru-RU"/>
        </w:rPr>
        <w:t xml:space="preserve"> </w:t>
      </w:r>
      <w:r w:rsidRPr="002536CD">
        <w:rPr>
          <w:lang w:eastAsia="ru-RU"/>
        </w:rPr>
        <w:t xml:space="preserve">в общественные места, где предположительно совершаются нарушения прав человека, в том числе в места содержания под </w:t>
      </w:r>
      <w:r>
        <w:rPr>
          <w:lang w:eastAsia="ru-RU"/>
        </w:rPr>
        <w:t>старжей.</w:t>
      </w:r>
      <w:r w:rsidRPr="002536CD">
        <w:rPr>
          <w:lang w:eastAsia="ru-RU"/>
        </w:rPr>
        <w:t xml:space="preserve"> .</w:t>
      </w:r>
    </w:p>
    <w:p w:rsidR="00442597" w:rsidRPr="002536CD" w:rsidRDefault="00442597" w:rsidP="00442597">
      <w:pPr>
        <w:ind w:firstLine="709"/>
        <w:rPr>
          <w:lang w:eastAsia="ru-RU"/>
        </w:rPr>
      </w:pP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обладает широким мандатом, включающим защиту, продвижение, повышение осведомленности о правах человека и выработку рекомендаций, связанных с ними.</w:t>
      </w:r>
    </w:p>
    <w:p w:rsidR="00442597" w:rsidRPr="002536CD" w:rsidRDefault="00442597" w:rsidP="00442597">
      <w:pPr>
        <w:ind w:firstLine="709"/>
        <w:rPr>
          <w:lang w:eastAsia="ru-RU"/>
        </w:rPr>
      </w:pPr>
      <w:r w:rsidRPr="002536CD">
        <w:rPr>
          <w:lang w:eastAsia="ru-RU"/>
        </w:rPr>
        <w:t xml:space="preserve">Кроме того, </w:t>
      </w:r>
      <w:r>
        <w:rPr>
          <w:lang w:eastAsia="ru-RU"/>
        </w:rPr>
        <w:t>Национальный институт</w:t>
      </w:r>
      <w:r w:rsidRPr="002536CD">
        <w:rPr>
          <w:lang w:eastAsia="ru-RU"/>
        </w:rPr>
        <w:t xml:space="preserve"> имеет широкие полномочия, включающие защиту, пропаганду, повышение осведомленности о правах человека и подготовку рекомендаций по этим вопросам, а также мониторинг, расследование, информирование и предотвращение нарушений прав человека.</w:t>
      </w:r>
    </w:p>
    <w:p w:rsidR="00145D55" w:rsidRDefault="00145D55"/>
    <w:sectPr w:rsidR="001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7"/>
    <w:rsid w:val="00145D55"/>
    <w:rsid w:val="004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DC09-040F-4A3E-BD9A-BECD5FAF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97"/>
    <w:pPr>
      <w:spacing w:after="0" w:line="240" w:lineRule="auto"/>
      <w:jc w:val="both"/>
    </w:pPr>
    <w:rPr>
      <w:rFonts w:ascii="Times New Roman" w:hAnsi="Times New Roman"/>
      <w:kern w:val="2"/>
      <w:sz w:val="28"/>
      <w14:ligatures w14:val="standardContextual"/>
    </w:rPr>
  </w:style>
  <w:style w:type="paragraph" w:styleId="2">
    <w:name w:val="heading 2"/>
    <w:aliases w:val="Заголовки для Доклада УПЧ"/>
    <w:basedOn w:val="a"/>
    <w:next w:val="a"/>
    <w:link w:val="20"/>
    <w:uiPriority w:val="9"/>
    <w:unhideWhenUsed/>
    <w:qFormat/>
    <w:rsid w:val="00442597"/>
    <w:pPr>
      <w:keepNext/>
      <w:keepLines/>
      <w:spacing w:before="240" w:after="240" w:line="259" w:lineRule="auto"/>
      <w:jc w:val="center"/>
      <w:outlineLvl w:val="1"/>
    </w:pPr>
    <w:rPr>
      <w:rFonts w:eastAsiaTheme="majorEastAsia" w:cstheme="majorBidi"/>
      <w:b/>
      <w:color w:val="2E74B5" w:themeColor="accent1" w:themeShade="BF"/>
      <w:kern w:val="0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ки для Доклада УПЧ Знак"/>
    <w:basedOn w:val="a0"/>
    <w:link w:val="2"/>
    <w:uiPriority w:val="9"/>
    <w:rsid w:val="00442597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eastAsia="ru-RU"/>
    </w:rPr>
  </w:style>
  <w:style w:type="paragraph" w:styleId="a3">
    <w:name w:val="No Spacing"/>
    <w:aliases w:val="Регулярный"/>
    <w:uiPriority w:val="1"/>
    <w:qFormat/>
    <w:rsid w:val="00442597"/>
    <w:pPr>
      <w:spacing w:before="120" w:after="120" w:line="240" w:lineRule="auto"/>
      <w:jc w:val="center"/>
    </w:pPr>
    <w:rPr>
      <w:rFonts w:ascii="Times New Roman" w:hAnsi="Times New Roman"/>
      <w:b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Санжижапов Ринчин-Доржо Солбонович</dc:creator>
  <cp:keywords/>
  <dc:description/>
  <cp:lastModifiedBy>Санжижапов Ринчин-Доржо Солбонович</cp:lastModifiedBy>
  <cp:revision>1</cp:revision>
  <dcterms:created xsi:type="dcterms:W3CDTF">2024-03-19T08:51:00Z</dcterms:created>
  <dcterms:modified xsi:type="dcterms:W3CDTF">2024-03-19T08:52:00Z</dcterms:modified>
</cp:coreProperties>
</file>